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EXHIBIT EE</w:t>
      </w:r>
    </w:p>
    <w:p w:rsidR="001E250D" w:rsidRDefault="00DC6CC8">
      <w:pPr>
        <w:spacing w:after="0" w:line="259" w:lineRule="auto"/>
        <w:ind w:right="53"/>
        <w:jc w:val="center"/>
        <w:rPr>
          <w:b/>
          <w:sz w:val="28"/>
          <w:lang w:val="en-US"/>
        </w:rPr>
      </w:pPr>
      <w:r w:rsidRPr="001E250D">
        <w:rPr>
          <w:b/>
          <w:sz w:val="28"/>
          <w:lang w:val="en-US"/>
        </w:rPr>
        <w:t>Certification of No Benefits Received</w:t>
      </w:r>
    </w:p>
    <w:p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2022 Qualified Allocation Plan</w:t>
      </w:r>
    </w:p>
    <w:p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LOW INCOME HOUSING TAX CREDITS PROGRAM</w:t>
      </w:r>
    </w:p>
    <w:p w:rsidR="001E250D" w:rsidRPr="001E250D" w:rsidRDefault="001E250D" w:rsidP="001E250D">
      <w:pPr>
        <w:jc w:val="center"/>
        <w:rPr>
          <w:rFonts w:eastAsia="Times New Roman" w:cs="Times New Roman"/>
          <w:b/>
          <w:bCs/>
          <w:sz w:val="20"/>
          <w:szCs w:val="20"/>
          <w:lang w:val="en-US"/>
        </w:rPr>
      </w:pPr>
      <w:r w:rsidRPr="001E250D">
        <w:rPr>
          <w:rFonts w:eastAsia="Times New Roman" w:cs="Times New Roman"/>
          <w:b/>
          <w:sz w:val="20"/>
          <w:szCs w:val="20"/>
          <w:lang w:val="en-US"/>
        </w:rPr>
        <w:t>CDBG-DR GAP TO LOW INCOME HOUSING TAX CREDITS PROGRAM</w:t>
      </w:r>
    </w:p>
    <w:p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 xml:space="preserve">The Home Investment Partnerships Program </w:t>
      </w:r>
    </w:p>
    <w:p w:rsidR="001E250D" w:rsidRPr="001E250D" w:rsidRDefault="001E250D" w:rsidP="001E250D">
      <w:pPr>
        <w:jc w:val="center"/>
        <w:rPr>
          <w:rFonts w:eastAsia="Times New Roman" w:cs="Times New Roman"/>
          <w:b/>
          <w:sz w:val="20"/>
          <w:szCs w:val="20"/>
          <w:lang w:val="en-US"/>
        </w:rPr>
      </w:pPr>
      <w:r w:rsidRPr="001E250D">
        <w:rPr>
          <w:rFonts w:eastAsia="Times New Roman" w:cs="Times New Roman"/>
          <w:b/>
          <w:sz w:val="20"/>
          <w:szCs w:val="20"/>
          <w:lang w:val="en-US"/>
        </w:rPr>
        <w:t>The Housing Trust Fund</w:t>
      </w:r>
    </w:p>
    <w:p w:rsidR="00793220" w:rsidRDefault="00793220">
      <w:pPr>
        <w:spacing w:after="0" w:line="259" w:lineRule="auto"/>
        <w:ind w:right="53"/>
        <w:jc w:val="center"/>
        <w:rPr>
          <w:lang w:val="en-US"/>
        </w:rPr>
      </w:pPr>
    </w:p>
    <w:p w:rsidR="00991B9D" w:rsidRDefault="00991B9D">
      <w:pPr>
        <w:spacing w:after="0" w:line="259" w:lineRule="auto"/>
        <w:ind w:right="53"/>
        <w:jc w:val="center"/>
        <w:rPr>
          <w:lang w:val="en-US"/>
        </w:rPr>
      </w:pPr>
    </w:p>
    <w:p w:rsidR="00793220" w:rsidRPr="00991B9D" w:rsidRDefault="00DC6CC8">
      <w:pPr>
        <w:ind w:left="-5" w:right="37"/>
        <w:rPr>
          <w:sz w:val="22"/>
          <w:lang w:val="en-US"/>
        </w:rPr>
      </w:pPr>
      <w:r w:rsidRPr="00991B9D">
        <w:rPr>
          <w:sz w:val="22"/>
          <w:lang w:val="en-US"/>
        </w:rPr>
        <w:t xml:space="preserve">Robert T. Stafford Disaster Relief and Emergency Assistance Act (Stafford Act), as amended, 42 U.S.C. §5121 </w:t>
      </w:r>
      <w:r w:rsidRPr="00991B9D">
        <w:rPr>
          <w:i/>
          <w:sz w:val="22"/>
          <w:lang w:val="en-US"/>
        </w:rPr>
        <w:t>et seq.</w:t>
      </w:r>
      <w:r w:rsidRPr="00991B9D">
        <w:rPr>
          <w:sz w:val="22"/>
          <w:lang w:val="en-US"/>
        </w:rPr>
        <w:t>, states that the Program cannot provide benefits to an applicant that has already received duplicate benefits under any other program, insurance policy, or any other source of financial assistance for an event declared a disaster by the President o</w:t>
      </w:r>
      <w:r w:rsidRPr="00991B9D">
        <w:rPr>
          <w:sz w:val="22"/>
          <w:lang w:val="en-US"/>
        </w:rPr>
        <w:t xml:space="preserve">f the United States of America. </w:t>
      </w:r>
    </w:p>
    <w:p w:rsidR="00793220" w:rsidRPr="00991B9D" w:rsidRDefault="00DC6CC8">
      <w:pPr>
        <w:spacing w:after="0" w:line="259" w:lineRule="auto"/>
        <w:ind w:left="0" w:right="0" w:firstLine="0"/>
        <w:jc w:val="left"/>
        <w:rPr>
          <w:sz w:val="22"/>
          <w:lang w:val="en-US"/>
        </w:rPr>
      </w:pPr>
      <w:r w:rsidRPr="00991B9D">
        <w:rPr>
          <w:sz w:val="22"/>
          <w:lang w:val="en-US"/>
        </w:rPr>
        <w:t xml:space="preserve"> </w:t>
      </w:r>
    </w:p>
    <w:p w:rsidR="00793220" w:rsidRPr="00991B9D" w:rsidRDefault="00DC6CC8">
      <w:pPr>
        <w:ind w:left="-5" w:right="37"/>
        <w:rPr>
          <w:sz w:val="22"/>
          <w:lang w:val="en-US"/>
        </w:rPr>
      </w:pPr>
      <w:r w:rsidRPr="00991B9D">
        <w:rPr>
          <w:sz w:val="22"/>
          <w:lang w:val="en-US"/>
        </w:rPr>
        <w:t>Therefore, I swear under penalty of perjury that I did not receive any assistance determined to be duplicative</w:t>
      </w:r>
      <w:r w:rsidRPr="00991B9D">
        <w:rPr>
          <w:b/>
          <w:lang w:val="en-US"/>
        </w:rPr>
        <w:t xml:space="preserve"> </w:t>
      </w:r>
      <w:r w:rsidRPr="00991B9D">
        <w:rPr>
          <w:sz w:val="22"/>
          <w:lang w:val="en-US"/>
        </w:rPr>
        <w:t xml:space="preserve">for: </w:t>
      </w:r>
    </w:p>
    <w:p w:rsidR="00793220" w:rsidRPr="00991B9D" w:rsidRDefault="00DC6CC8">
      <w:pPr>
        <w:spacing w:after="1" w:line="259" w:lineRule="auto"/>
        <w:ind w:left="0" w:right="0" w:firstLine="0"/>
        <w:jc w:val="left"/>
        <w:rPr>
          <w:sz w:val="22"/>
          <w:lang w:val="en-US"/>
        </w:rPr>
      </w:pPr>
      <w:r w:rsidRPr="00991B9D">
        <w:rPr>
          <w:sz w:val="22"/>
          <w:lang w:val="en-US"/>
        </w:rPr>
        <w:t xml:space="preserve"> </w:t>
      </w:r>
    </w:p>
    <w:p w:rsidR="00793220" w:rsidRDefault="00DC6CC8">
      <w:pPr>
        <w:ind w:left="-5" w:right="37"/>
        <w:rPr>
          <w:sz w:val="22"/>
          <w:lang w:val="en-US"/>
        </w:rPr>
      </w:pPr>
      <w:r w:rsidRPr="00991B9D">
        <w:rPr>
          <w:rFonts w:ascii="MS Gothic" w:eastAsia="MS Gothic" w:hAnsi="MS Gothic" w:cs="MS Gothic"/>
          <w:sz w:val="22"/>
          <w:lang w:val="en-US"/>
        </w:rPr>
        <w:t>☐</w:t>
      </w:r>
      <w:r w:rsidR="001E250D" w:rsidRPr="00991B9D">
        <w:rPr>
          <w:sz w:val="22"/>
          <w:lang w:val="en-US"/>
        </w:rPr>
        <w:tab/>
      </w:r>
      <w:proofErr w:type="gramStart"/>
      <w:r w:rsidRPr="00991B9D">
        <w:rPr>
          <w:sz w:val="22"/>
          <w:lang w:val="en-US"/>
        </w:rPr>
        <w:t>Providing</w:t>
      </w:r>
      <w:proofErr w:type="gramEnd"/>
      <w:r w:rsidRPr="00991B9D">
        <w:rPr>
          <w:sz w:val="22"/>
          <w:lang w:val="en-US"/>
        </w:rPr>
        <w:t xml:space="preserve"> gap funding by means of either a grant or loan to leverage available LIHTCs to develop or </w:t>
      </w:r>
      <w:r w:rsidRPr="00991B9D">
        <w:rPr>
          <w:sz w:val="22"/>
          <w:lang w:val="en-US"/>
        </w:rPr>
        <w:t xml:space="preserve">rehabilitate affordable rental housing.  </w:t>
      </w:r>
    </w:p>
    <w:p w:rsidR="00DC6CC8" w:rsidRPr="00991B9D" w:rsidRDefault="00DC6CC8">
      <w:pPr>
        <w:ind w:left="-5" w:right="37"/>
        <w:rPr>
          <w:sz w:val="22"/>
          <w:lang w:val="en-US"/>
        </w:rPr>
      </w:pPr>
      <w:bookmarkStart w:id="0" w:name="_GoBack"/>
      <w:bookmarkEnd w:id="0"/>
    </w:p>
    <w:p w:rsidR="00793220" w:rsidRPr="00991B9D" w:rsidRDefault="00DC6CC8">
      <w:pPr>
        <w:ind w:left="-5" w:right="37"/>
        <w:rPr>
          <w:sz w:val="22"/>
          <w:lang w:val="en-US"/>
        </w:rPr>
      </w:pPr>
      <w:r w:rsidRPr="00991B9D">
        <w:rPr>
          <w:rFonts w:ascii="Segoe UI Symbol" w:eastAsia="Segoe UI Symbol" w:hAnsi="Segoe UI Symbol" w:cs="Segoe UI Symbol"/>
          <w:sz w:val="22"/>
          <w:lang w:val="en-US"/>
        </w:rPr>
        <w:t>☐</w:t>
      </w:r>
      <w:r w:rsidR="001E250D" w:rsidRPr="00991B9D">
        <w:rPr>
          <w:sz w:val="22"/>
          <w:lang w:val="en-US"/>
        </w:rPr>
        <w:tab/>
      </w:r>
      <w:r w:rsidRPr="00991B9D">
        <w:rPr>
          <w:sz w:val="22"/>
          <w:lang w:val="en-US"/>
        </w:rPr>
        <w:t>Funds for activities such as housing construction and acquisition, implementation of the Green Building Standards, increased accessibility requirements, broadband infrastructure, and other activities to suppleme</w:t>
      </w:r>
      <w:r w:rsidRPr="00991B9D">
        <w:rPr>
          <w:sz w:val="22"/>
          <w:lang w:val="en-US"/>
        </w:rPr>
        <w:t xml:space="preserve">nt the existing LIHTC Program. </w:t>
      </w:r>
    </w:p>
    <w:p w:rsidR="00793220" w:rsidRPr="00991B9D" w:rsidRDefault="00793220">
      <w:pPr>
        <w:spacing w:after="0" w:line="259" w:lineRule="auto"/>
        <w:ind w:left="0" w:right="0" w:firstLine="0"/>
        <w:jc w:val="left"/>
        <w:rPr>
          <w:sz w:val="22"/>
          <w:lang w:val="en-US"/>
        </w:rPr>
      </w:pPr>
    </w:p>
    <w:p w:rsidR="00793220" w:rsidRPr="00991B9D" w:rsidRDefault="00DC6CC8">
      <w:pPr>
        <w:ind w:left="-5" w:right="37"/>
        <w:rPr>
          <w:sz w:val="22"/>
          <w:lang w:val="en-US"/>
        </w:rPr>
      </w:pPr>
      <w:r w:rsidRPr="00991B9D">
        <w:rPr>
          <w:sz w:val="22"/>
          <w:lang w:val="en-US"/>
        </w:rPr>
        <w:t xml:space="preserve">I also acknowledge that false, misleading, or incomplete information constitutes just cause for denial of participation in the </w:t>
      </w:r>
      <w:r w:rsidR="006942A5" w:rsidRPr="00991B9D">
        <w:rPr>
          <w:sz w:val="22"/>
          <w:lang w:val="en-US"/>
        </w:rPr>
        <w:t>CDBG-DR Gap to LIHTC</w:t>
      </w:r>
      <w:r w:rsidRPr="00991B9D">
        <w:rPr>
          <w:sz w:val="22"/>
          <w:lang w:val="en-US"/>
        </w:rPr>
        <w:t xml:space="preserve"> Program</w:t>
      </w:r>
      <w:r w:rsidR="001E250D" w:rsidRPr="00991B9D">
        <w:rPr>
          <w:sz w:val="22"/>
          <w:lang w:val="en-US"/>
        </w:rPr>
        <w:t xml:space="preserve">, HOME Program, Housing Trust Fund </w:t>
      </w:r>
      <w:r w:rsidRPr="00991B9D">
        <w:rPr>
          <w:sz w:val="22"/>
          <w:lang w:val="en-US"/>
        </w:rPr>
        <w:t>or term</w:t>
      </w:r>
      <w:r w:rsidRPr="00991B9D">
        <w:rPr>
          <w:sz w:val="22"/>
          <w:lang w:val="en-US"/>
        </w:rPr>
        <w:t>ination of benefits under the Program</w:t>
      </w:r>
      <w:r w:rsidR="001E250D" w:rsidRPr="00991B9D">
        <w:rPr>
          <w:sz w:val="22"/>
          <w:lang w:val="en-US"/>
        </w:rPr>
        <w:t>s</w:t>
      </w:r>
      <w:r w:rsidRPr="00991B9D">
        <w:rPr>
          <w:sz w:val="22"/>
          <w:lang w:val="en-US"/>
        </w:rPr>
        <w:t xml:space="preserve"> and may result in the restitution of funds incurred in any type of work towards property improvements made to my primary residence. </w:t>
      </w:r>
    </w:p>
    <w:p w:rsidR="00793220" w:rsidRPr="00991B9D" w:rsidRDefault="00DC6CC8">
      <w:pPr>
        <w:spacing w:after="0" w:line="259" w:lineRule="auto"/>
        <w:ind w:left="0" w:right="0" w:firstLine="0"/>
        <w:jc w:val="left"/>
        <w:rPr>
          <w:sz w:val="22"/>
          <w:lang w:val="en-US"/>
        </w:rPr>
      </w:pPr>
      <w:r w:rsidRPr="00991B9D">
        <w:rPr>
          <w:sz w:val="22"/>
          <w:lang w:val="en-US"/>
        </w:rPr>
        <w:t xml:space="preserve"> </w:t>
      </w:r>
    </w:p>
    <w:p w:rsidR="00793220" w:rsidRPr="00991B9D" w:rsidRDefault="00DC6CC8">
      <w:pPr>
        <w:ind w:left="-5" w:right="37"/>
        <w:rPr>
          <w:sz w:val="22"/>
          <w:lang w:val="en-US"/>
        </w:rPr>
      </w:pPr>
      <w:r w:rsidRPr="00991B9D">
        <w:rPr>
          <w:b/>
          <w:sz w:val="22"/>
          <w:lang w:val="en-US"/>
        </w:rPr>
        <w:t>Warning</w:t>
      </w:r>
      <w:r w:rsidRPr="00991B9D">
        <w:rPr>
          <w:sz w:val="22"/>
          <w:lang w:val="en-US"/>
        </w:rPr>
        <w:t>: Any person who knowingly makes a false claim or statement to HUD may be su</w:t>
      </w:r>
      <w:r w:rsidRPr="00991B9D">
        <w:rPr>
          <w:sz w:val="22"/>
          <w:lang w:val="en-US"/>
        </w:rPr>
        <w:t xml:space="preserve">bject to civil or criminal penalties under 18 U.S.C. §287, 1001 and 31 U.S.C. § 3729.  </w:t>
      </w:r>
    </w:p>
    <w:p w:rsidR="00793220" w:rsidRPr="00991B9D" w:rsidRDefault="00793220">
      <w:pPr>
        <w:spacing w:after="0" w:line="259" w:lineRule="auto"/>
        <w:ind w:left="108" w:right="0" w:firstLine="0"/>
        <w:jc w:val="left"/>
        <w:rPr>
          <w:sz w:val="22"/>
          <w:lang w:val="en-US"/>
        </w:rPr>
      </w:pPr>
    </w:p>
    <w:p w:rsidR="0029225F" w:rsidRPr="00991B9D" w:rsidRDefault="0029225F">
      <w:pPr>
        <w:spacing w:after="0" w:line="259" w:lineRule="auto"/>
        <w:ind w:left="108" w:right="0" w:firstLine="0"/>
        <w:jc w:val="left"/>
        <w:rPr>
          <w:sz w:val="22"/>
          <w:lang w:val="en-US"/>
        </w:rPr>
      </w:pPr>
    </w:p>
    <w:p w:rsidR="0029225F" w:rsidRPr="00991B9D" w:rsidRDefault="0029225F">
      <w:pPr>
        <w:spacing w:after="0" w:line="259" w:lineRule="auto"/>
        <w:ind w:left="108" w:right="0" w:firstLine="0"/>
        <w:jc w:val="left"/>
        <w:rPr>
          <w:sz w:val="22"/>
          <w:lang w:val="en-US"/>
        </w:rPr>
      </w:pPr>
    </w:p>
    <w:tbl>
      <w:tblPr>
        <w:tblStyle w:val="TableGrid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2"/>
        <w:gridCol w:w="540"/>
        <w:gridCol w:w="3870"/>
      </w:tblGrid>
      <w:tr w:rsidR="0029225F" w:rsidRPr="00991B9D" w:rsidTr="0029225F">
        <w:tc>
          <w:tcPr>
            <w:tcW w:w="4842" w:type="dxa"/>
            <w:tcBorders>
              <w:top w:val="single" w:sz="4" w:space="0" w:color="auto"/>
            </w:tcBorders>
          </w:tcPr>
          <w:p w:rsidR="0029225F" w:rsidRPr="00991B9D" w:rsidRDefault="0029225F" w:rsidP="0029225F">
            <w:pPr>
              <w:tabs>
                <w:tab w:val="left" w:pos="1800"/>
              </w:tabs>
              <w:spacing w:after="0" w:line="259" w:lineRule="auto"/>
              <w:ind w:left="0" w:right="0" w:firstLine="0"/>
              <w:jc w:val="center"/>
              <w:rPr>
                <w:sz w:val="22"/>
                <w:lang w:val="en-US"/>
              </w:rPr>
            </w:pPr>
            <w:r w:rsidRPr="00991B9D">
              <w:rPr>
                <w:sz w:val="22"/>
                <w:lang w:val="en-US"/>
              </w:rPr>
              <w:lastRenderedPageBreak/>
              <w:t>Applicant’s Signature</w:t>
            </w:r>
          </w:p>
        </w:tc>
        <w:tc>
          <w:tcPr>
            <w:tcW w:w="540" w:type="dxa"/>
          </w:tcPr>
          <w:p w:rsidR="0029225F" w:rsidRPr="00991B9D" w:rsidRDefault="0029225F" w:rsidP="006942A5">
            <w:pPr>
              <w:spacing w:after="0" w:line="259" w:lineRule="auto"/>
              <w:ind w:left="0" w:right="0" w:firstLine="0"/>
              <w:jc w:val="left"/>
              <w:rPr>
                <w:sz w:val="22"/>
                <w:lang w:val="en-US"/>
              </w:rPr>
            </w:pPr>
          </w:p>
        </w:tc>
        <w:tc>
          <w:tcPr>
            <w:tcW w:w="3870" w:type="dxa"/>
            <w:tcBorders>
              <w:top w:val="single" w:sz="4" w:space="0" w:color="auto"/>
            </w:tcBorders>
          </w:tcPr>
          <w:p w:rsidR="0029225F" w:rsidRPr="00991B9D" w:rsidRDefault="0029225F" w:rsidP="0029225F">
            <w:pPr>
              <w:spacing w:after="0" w:line="259" w:lineRule="auto"/>
              <w:ind w:left="0" w:right="0" w:firstLine="0"/>
              <w:jc w:val="center"/>
              <w:rPr>
                <w:sz w:val="22"/>
                <w:lang w:val="en-US"/>
              </w:rPr>
            </w:pPr>
            <w:r w:rsidRPr="00991B9D">
              <w:rPr>
                <w:sz w:val="22"/>
                <w:lang w:val="en-US"/>
              </w:rPr>
              <w:t>Date</w:t>
            </w:r>
          </w:p>
        </w:tc>
      </w:tr>
      <w:tr w:rsidR="0029225F" w:rsidRPr="00991B9D" w:rsidTr="0029225F">
        <w:trPr>
          <w:trHeight w:val="468"/>
        </w:trPr>
        <w:tc>
          <w:tcPr>
            <w:tcW w:w="4842" w:type="dxa"/>
            <w:tcBorders>
              <w:bottom w:val="single" w:sz="4" w:space="0" w:color="auto"/>
            </w:tcBorders>
          </w:tcPr>
          <w:p w:rsidR="0029225F" w:rsidRPr="00991B9D" w:rsidRDefault="0029225F" w:rsidP="006942A5">
            <w:pPr>
              <w:spacing w:after="0" w:line="259" w:lineRule="auto"/>
              <w:ind w:left="0" w:right="0" w:firstLine="0"/>
              <w:jc w:val="left"/>
              <w:rPr>
                <w:sz w:val="22"/>
                <w:lang w:val="en-US"/>
              </w:rPr>
            </w:pPr>
          </w:p>
        </w:tc>
        <w:tc>
          <w:tcPr>
            <w:tcW w:w="540" w:type="dxa"/>
          </w:tcPr>
          <w:p w:rsidR="0029225F" w:rsidRPr="00991B9D" w:rsidRDefault="0029225F" w:rsidP="006942A5">
            <w:pPr>
              <w:spacing w:after="0" w:line="259" w:lineRule="auto"/>
              <w:ind w:left="0" w:right="0" w:firstLine="0"/>
              <w:jc w:val="left"/>
              <w:rPr>
                <w:sz w:val="22"/>
                <w:lang w:val="en-US"/>
              </w:rPr>
            </w:pPr>
          </w:p>
        </w:tc>
        <w:tc>
          <w:tcPr>
            <w:tcW w:w="3870" w:type="dxa"/>
            <w:tcBorders>
              <w:bottom w:val="single" w:sz="4" w:space="0" w:color="auto"/>
            </w:tcBorders>
          </w:tcPr>
          <w:p w:rsidR="0029225F" w:rsidRPr="00991B9D" w:rsidRDefault="0029225F" w:rsidP="006942A5">
            <w:pPr>
              <w:spacing w:after="0" w:line="259" w:lineRule="auto"/>
              <w:ind w:left="0" w:right="0" w:firstLine="0"/>
              <w:jc w:val="left"/>
              <w:rPr>
                <w:sz w:val="22"/>
                <w:lang w:val="en-US"/>
              </w:rPr>
            </w:pPr>
          </w:p>
        </w:tc>
      </w:tr>
      <w:tr w:rsidR="0029225F" w:rsidRPr="00991B9D" w:rsidTr="0029225F">
        <w:tc>
          <w:tcPr>
            <w:tcW w:w="4842" w:type="dxa"/>
            <w:tcBorders>
              <w:top w:val="single" w:sz="4" w:space="0" w:color="auto"/>
            </w:tcBorders>
          </w:tcPr>
          <w:p w:rsidR="0029225F" w:rsidRPr="00991B9D" w:rsidRDefault="0029225F" w:rsidP="0029225F">
            <w:pPr>
              <w:spacing w:after="0" w:line="259" w:lineRule="auto"/>
              <w:ind w:left="0" w:right="0" w:firstLine="0"/>
              <w:jc w:val="center"/>
              <w:rPr>
                <w:sz w:val="22"/>
                <w:lang w:val="en-US"/>
              </w:rPr>
            </w:pPr>
            <w:r w:rsidRPr="00991B9D">
              <w:rPr>
                <w:sz w:val="22"/>
                <w:lang w:val="en-US"/>
              </w:rPr>
              <w:t>Printed Name of Applicant</w:t>
            </w:r>
          </w:p>
        </w:tc>
        <w:tc>
          <w:tcPr>
            <w:tcW w:w="540" w:type="dxa"/>
          </w:tcPr>
          <w:p w:rsidR="0029225F" w:rsidRPr="00991B9D" w:rsidRDefault="0029225F" w:rsidP="006942A5">
            <w:pPr>
              <w:spacing w:after="0" w:line="259" w:lineRule="auto"/>
              <w:ind w:left="0" w:right="0" w:firstLine="0"/>
              <w:jc w:val="left"/>
              <w:rPr>
                <w:sz w:val="22"/>
                <w:lang w:val="en-US"/>
              </w:rPr>
            </w:pPr>
          </w:p>
        </w:tc>
        <w:tc>
          <w:tcPr>
            <w:tcW w:w="3870" w:type="dxa"/>
            <w:tcBorders>
              <w:top w:val="single" w:sz="4" w:space="0" w:color="auto"/>
            </w:tcBorders>
          </w:tcPr>
          <w:p w:rsidR="0029225F" w:rsidRPr="00991B9D" w:rsidRDefault="0029225F" w:rsidP="0029225F">
            <w:pPr>
              <w:tabs>
                <w:tab w:val="center" w:pos="1827"/>
                <w:tab w:val="right" w:pos="3654"/>
              </w:tabs>
              <w:spacing w:after="0" w:line="259" w:lineRule="auto"/>
              <w:ind w:left="0" w:right="0" w:firstLine="0"/>
              <w:jc w:val="left"/>
              <w:rPr>
                <w:sz w:val="22"/>
                <w:lang w:val="en-US"/>
              </w:rPr>
            </w:pPr>
            <w:r w:rsidRPr="00991B9D">
              <w:rPr>
                <w:sz w:val="22"/>
                <w:lang w:val="en-US"/>
              </w:rPr>
              <w:tab/>
              <w:t>Project Name</w:t>
            </w:r>
            <w:r w:rsidRPr="00991B9D">
              <w:rPr>
                <w:sz w:val="22"/>
                <w:lang w:val="en-US"/>
              </w:rPr>
              <w:tab/>
            </w:r>
          </w:p>
        </w:tc>
      </w:tr>
      <w:tr w:rsidR="0029225F" w:rsidRPr="00991B9D" w:rsidTr="0029225F">
        <w:trPr>
          <w:trHeight w:val="477"/>
        </w:trPr>
        <w:tc>
          <w:tcPr>
            <w:tcW w:w="4842" w:type="dxa"/>
          </w:tcPr>
          <w:p w:rsidR="0029225F" w:rsidRPr="00991B9D" w:rsidRDefault="0029225F" w:rsidP="0029225F">
            <w:pPr>
              <w:spacing w:after="0" w:line="259" w:lineRule="auto"/>
              <w:ind w:left="0" w:right="0" w:firstLine="0"/>
              <w:jc w:val="center"/>
              <w:rPr>
                <w:sz w:val="22"/>
                <w:lang w:val="en-US"/>
              </w:rPr>
            </w:pPr>
          </w:p>
        </w:tc>
        <w:tc>
          <w:tcPr>
            <w:tcW w:w="540" w:type="dxa"/>
          </w:tcPr>
          <w:p w:rsidR="0029225F" w:rsidRPr="00991B9D" w:rsidRDefault="0029225F" w:rsidP="006942A5">
            <w:pPr>
              <w:spacing w:after="0" w:line="259" w:lineRule="auto"/>
              <w:ind w:left="0" w:right="0" w:firstLine="0"/>
              <w:jc w:val="left"/>
              <w:rPr>
                <w:sz w:val="22"/>
                <w:lang w:val="en-US"/>
              </w:rPr>
            </w:pPr>
          </w:p>
        </w:tc>
        <w:tc>
          <w:tcPr>
            <w:tcW w:w="3870" w:type="dxa"/>
            <w:tcBorders>
              <w:bottom w:val="single" w:sz="4" w:space="0" w:color="auto"/>
            </w:tcBorders>
          </w:tcPr>
          <w:p w:rsidR="0029225F" w:rsidRPr="00991B9D" w:rsidRDefault="0029225F" w:rsidP="0029225F">
            <w:pPr>
              <w:spacing w:after="0" w:line="259" w:lineRule="auto"/>
              <w:ind w:left="0" w:right="0" w:firstLine="0"/>
              <w:jc w:val="center"/>
              <w:rPr>
                <w:sz w:val="22"/>
                <w:lang w:val="en-US"/>
              </w:rPr>
            </w:pPr>
          </w:p>
        </w:tc>
      </w:tr>
      <w:tr w:rsidR="0029225F" w:rsidRPr="00991B9D" w:rsidTr="0029225F">
        <w:tc>
          <w:tcPr>
            <w:tcW w:w="4842" w:type="dxa"/>
          </w:tcPr>
          <w:p w:rsidR="0029225F" w:rsidRPr="00991B9D" w:rsidRDefault="0029225F" w:rsidP="0029225F">
            <w:pPr>
              <w:spacing w:after="0" w:line="259" w:lineRule="auto"/>
              <w:ind w:left="0" w:right="0" w:firstLine="0"/>
              <w:jc w:val="center"/>
              <w:rPr>
                <w:sz w:val="22"/>
                <w:lang w:val="en-US"/>
              </w:rPr>
            </w:pPr>
          </w:p>
        </w:tc>
        <w:tc>
          <w:tcPr>
            <w:tcW w:w="540" w:type="dxa"/>
          </w:tcPr>
          <w:p w:rsidR="0029225F" w:rsidRPr="00991B9D" w:rsidRDefault="0029225F" w:rsidP="006942A5">
            <w:pPr>
              <w:spacing w:after="0" w:line="259" w:lineRule="auto"/>
              <w:ind w:left="0" w:right="0" w:firstLine="0"/>
              <w:jc w:val="left"/>
              <w:rPr>
                <w:sz w:val="22"/>
                <w:lang w:val="en-US"/>
              </w:rPr>
            </w:pPr>
          </w:p>
        </w:tc>
        <w:tc>
          <w:tcPr>
            <w:tcW w:w="3870" w:type="dxa"/>
            <w:tcBorders>
              <w:top w:val="single" w:sz="4" w:space="0" w:color="auto"/>
            </w:tcBorders>
          </w:tcPr>
          <w:p w:rsidR="0029225F" w:rsidRPr="00991B9D" w:rsidRDefault="0029225F" w:rsidP="0029225F">
            <w:pPr>
              <w:spacing w:after="0" w:line="259" w:lineRule="auto"/>
              <w:ind w:left="0" w:right="0" w:firstLine="0"/>
              <w:jc w:val="center"/>
              <w:rPr>
                <w:sz w:val="22"/>
                <w:lang w:val="en-US"/>
              </w:rPr>
            </w:pPr>
            <w:r w:rsidRPr="00991B9D">
              <w:rPr>
                <w:sz w:val="22"/>
                <w:lang w:val="en-US"/>
              </w:rPr>
              <w:t>Application Number</w:t>
            </w:r>
          </w:p>
        </w:tc>
      </w:tr>
    </w:tbl>
    <w:p w:rsidR="00793220" w:rsidRPr="00991B9D" w:rsidRDefault="00793220" w:rsidP="00991B9D">
      <w:pPr>
        <w:spacing w:after="0" w:line="259" w:lineRule="auto"/>
        <w:ind w:right="0"/>
        <w:jc w:val="left"/>
        <w:rPr>
          <w:sz w:val="22"/>
          <w:lang w:val="en-US"/>
        </w:rPr>
      </w:pPr>
    </w:p>
    <w:sectPr w:rsidR="00793220" w:rsidRPr="00991B9D" w:rsidSect="006942A5">
      <w:pgSz w:w="12240" w:h="15840"/>
      <w:pgMar w:top="1440" w:right="1440" w:bottom="1080" w:left="1440" w:header="720" w:footer="72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3220"/>
    <w:rsid w:val="001E250D"/>
    <w:rsid w:val="0029225F"/>
    <w:rsid w:val="006942A5"/>
    <w:rsid w:val="00793220"/>
    <w:rsid w:val="00991B9D"/>
    <w:rsid w:val="00DC6CC8"/>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8E1A36-576D-4328-BBEC-6B53B181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PR" w:eastAsia="es-P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5" w:line="249" w:lineRule="auto"/>
      <w:ind w:left="10" w:right="52" w:hanging="10"/>
      <w:jc w:val="both"/>
    </w:pPr>
    <w:rPr>
      <w:rFonts w:ascii="Century Gothic" w:eastAsia="Century Gothic" w:hAnsi="Century Gothic" w:cs="Century Gothic"/>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2922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276</Words>
  <Characters>1521</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 Guzman-Garcia</dc:creator>
  <cp:keywords/>
  <cp:lastModifiedBy>Martínez De Jesús, María</cp:lastModifiedBy>
  <cp:revision>6</cp:revision>
  <dcterms:created xsi:type="dcterms:W3CDTF">2022-05-10T15:53:00Z</dcterms:created>
  <dcterms:modified xsi:type="dcterms:W3CDTF">2022-05-10T16:01:00Z</dcterms:modified>
</cp:coreProperties>
</file>